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shd w:val="clear" w:color="auto" w:fill="FFFFFF"/>
          <w:lang w:eastAsia="zh-CN"/>
        </w:rPr>
        <w:t>市文化广电和旅游局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shd w:val="clear" w:color="auto" w:fill="FFFFFF"/>
        </w:rPr>
        <w:t>重大执法决定法制审核</w:t>
      </w:r>
    </w:p>
    <w:p>
      <w:pPr>
        <w:jc w:val="center"/>
        <w:rPr>
          <w:rFonts w:hint="default" w:ascii="方正小标宋简体" w:hAnsi="黑体" w:eastAsia="方正小标宋简体" w:cs="黑体"/>
          <w:bCs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shd w:val="clear" w:color="auto" w:fill="FFFFFF"/>
        </w:rPr>
        <w:t>目录清单</w:t>
      </w:r>
      <w:r>
        <w:rPr>
          <w:rFonts w:hint="eastAsia" w:ascii="方正小标宋简体" w:hAnsi="黑体" w:eastAsia="方正小标宋简体" w:cs="黑体"/>
          <w:bCs/>
          <w:color w:val="000000"/>
          <w:sz w:val="44"/>
          <w:szCs w:val="44"/>
          <w:shd w:val="clear" w:color="auto" w:fill="FFFFFF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3"/>
        <w:tblpPr w:leftFromText="180" w:rightFromText="180" w:vertAnchor="text" w:horzAnchor="page" w:tblpX="1182" w:tblpY="229"/>
        <w:tblOverlap w:val="never"/>
        <w:tblW w:w="10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550"/>
        <w:gridCol w:w="1550"/>
        <w:gridCol w:w="1713"/>
        <w:gridCol w:w="1512"/>
        <w:gridCol w:w="151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2" w:type="dxa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  <w:t>执法类别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  <w:t>审核项目</w:t>
            </w:r>
          </w:p>
        </w:tc>
        <w:tc>
          <w:tcPr>
            <w:tcW w:w="1713" w:type="dxa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  <w:t>承办机构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  <w:t>审核依据</w:t>
            </w:r>
          </w:p>
        </w:tc>
        <w:tc>
          <w:tcPr>
            <w:tcW w:w="1513" w:type="dxa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  <w:t>审核机构</w:t>
            </w:r>
          </w:p>
        </w:tc>
        <w:tc>
          <w:tcPr>
            <w:tcW w:w="1537" w:type="dxa"/>
          </w:tcPr>
          <w:p>
            <w:pPr>
              <w:jc w:val="center"/>
              <w:rPr>
                <w:rFonts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32"/>
                <w:szCs w:val="32"/>
                <w:shd w:val="clear" w:color="auto" w:fill="FFFFFF"/>
              </w:rPr>
              <w:t>审核期限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行政处罚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所有行政处罚事项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市文化市场综合行政执法支队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《中华人民共和国行政处罚法》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局政策法规科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基本建设工程文物考古调查、勘探审批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审批科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《中华人民共和国行政许可法》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《中华人民共和国文物保护法》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局政策法规科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市级文物保护单位修缮审批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审批科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《中华人民共和国行政许可法》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《中华人民共和国文物保护法》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局政策法规科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县级文物保护单位保护范围内其他建设工程或者爆破、钻探、挖掘等作业审批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审批科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《中华人民共和国行政许可法》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《中华人民共和国文物保护法》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局政策法规科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市级文物保护单位建设控制地带内建设工程设计方案审批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审批科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《中华人民共和国行政许可法》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《中华人民共和国文物保护法》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局政策法规科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6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市级文物保护单位原址保护措施审批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审批科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《中华人民共和国行政许可法》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《中华人民共和国文物保护法》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局政策法规科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文物保护单位安全防护工程审批</w:t>
            </w: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审批科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《中华人民共和国行政许可法》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《中华人民共和国文物保护法》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局政策法规科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5个工作日</w:t>
            </w:r>
          </w:p>
        </w:tc>
      </w:tr>
    </w:tbl>
    <w:p>
      <w:pPr>
        <w:rPr>
          <w:rFonts w:hint="eastAsia" w:ascii="楷体_GB2312" w:hAnsi="楷体_GB2312" w:eastAsia="楷体_GB2312" w:cs="楷体_GB2312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E60D4"/>
    <w:rsid w:val="01FE0594"/>
    <w:rsid w:val="05805052"/>
    <w:rsid w:val="07991889"/>
    <w:rsid w:val="23B03142"/>
    <w:rsid w:val="305C3F83"/>
    <w:rsid w:val="32B54FF0"/>
    <w:rsid w:val="334C62FB"/>
    <w:rsid w:val="3CBA3C84"/>
    <w:rsid w:val="5344686D"/>
    <w:rsid w:val="6BBB0D17"/>
    <w:rsid w:val="6CB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  <w:rPr>
      <w:color w:val="EC591F"/>
      <w:u w:val="none"/>
    </w:rPr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333333"/>
      <w:u w:val="none"/>
    </w:rPr>
  </w:style>
  <w:style w:type="character" w:styleId="10">
    <w:name w:val="HTML Code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2021-01-05T04:49:00Z</dcterms:created>
  <dc:creator>李大颖</dc:creator>
  <cp:lastModifiedBy>李大颖</cp:lastModifiedBy>
  <dcterms:modified xsi:type="dcterms:W3CDTF">2021-01-05T06:58:46Z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